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F78" w:rsidRDefault="00996F78" w14:paraId="55E07BDD" w14:textId="77777777">
      <w:pPr>
        <w:spacing w:line="100" w:lineRule="atLeast"/>
        <w:jc w:val="right"/>
      </w:pPr>
      <w:r>
        <w:rPr>
          <w:rFonts w:ascii="Times New Roman" w:hAnsi="Times New Roman" w:eastAsia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:rsidR="00996F78" w:rsidRDefault="00996F78" w14:paraId="55E07BDE" w14:textId="77777777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996F78" w:rsidRDefault="00996F78" w14:paraId="55E07BDF" w14:textId="77777777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</w:p>
    <w:p w:rsidR="00996F78" w:rsidRDefault="00996F78" w14:paraId="55E07BE0" w14:textId="0E49B329">
      <w:pPr>
        <w:spacing w:after="0" w:line="240" w:lineRule="exact"/>
        <w:jc w:val="both"/>
      </w:pPr>
      <w:r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20</w:t>
      </w:r>
      <w:r w:rsidR="007C537A">
        <w:rPr>
          <w:rFonts w:ascii="Corbel" w:hAnsi="Corbel" w:eastAsia="Corbel" w:cs="Corbel"/>
          <w:i/>
          <w:sz w:val="24"/>
          <w:szCs w:val="24"/>
        </w:rPr>
        <w:t>20</w:t>
      </w:r>
      <w:r>
        <w:rPr>
          <w:rFonts w:ascii="Corbel" w:hAnsi="Corbel" w:eastAsia="Corbel" w:cs="Corbel"/>
          <w:i/>
          <w:sz w:val="24"/>
          <w:szCs w:val="24"/>
        </w:rPr>
        <w:t>-202</w:t>
      </w:r>
      <w:r w:rsidR="007C537A">
        <w:rPr>
          <w:rFonts w:ascii="Corbel" w:hAnsi="Corbel" w:eastAsia="Corbel" w:cs="Corbel"/>
          <w:i/>
          <w:sz w:val="24"/>
          <w:szCs w:val="24"/>
        </w:rPr>
        <w:t>3</w:t>
      </w:r>
    </w:p>
    <w:p w:rsidR="00996F78" w:rsidRDefault="00996F78" w14:paraId="55E07BE1" w14:textId="4F73E329">
      <w:pPr>
        <w:spacing w:after="0" w:line="240" w:lineRule="exact"/>
        <w:jc w:val="both"/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9359EB">
        <w:rPr>
          <w:rFonts w:ascii="Corbel" w:hAnsi="Corbel" w:cs="Corbel"/>
          <w:sz w:val="20"/>
          <w:szCs w:val="20"/>
        </w:rPr>
        <w:t xml:space="preserve">                       </w:t>
      </w:r>
      <w:r>
        <w:rPr>
          <w:rFonts w:ascii="Corbel" w:hAnsi="Corbel" w:cs="Corbel"/>
          <w:sz w:val="20"/>
          <w:szCs w:val="20"/>
        </w:rPr>
        <w:t>Rok akademicki 202</w:t>
      </w:r>
      <w:r w:rsidR="007C537A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</w:t>
      </w:r>
      <w:r w:rsidR="00A268D7">
        <w:rPr>
          <w:rFonts w:ascii="Corbel" w:hAnsi="Corbel" w:cs="Corbel"/>
          <w:sz w:val="20"/>
          <w:szCs w:val="20"/>
        </w:rPr>
        <w:t>20</w:t>
      </w:r>
      <w:r>
        <w:rPr>
          <w:rFonts w:ascii="Corbel" w:hAnsi="Corbel" w:cs="Corbel"/>
          <w:sz w:val="20"/>
          <w:szCs w:val="20"/>
        </w:rPr>
        <w:t>2</w:t>
      </w:r>
      <w:r w:rsidR="007C537A">
        <w:rPr>
          <w:rFonts w:ascii="Corbel" w:hAnsi="Corbel" w:cs="Corbel"/>
          <w:sz w:val="20"/>
          <w:szCs w:val="20"/>
        </w:rPr>
        <w:t>2</w:t>
      </w:r>
    </w:p>
    <w:p w:rsidR="00996F78" w:rsidRDefault="00996F78" w14:paraId="55E07BE2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996F78" w:rsidRDefault="00996F78" w14:paraId="55E07BE3" w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2692"/>
        <w:gridCol w:w="7128"/>
      </w:tblGrid>
      <w:tr w:rsidR="00996F78" w14:paraId="55E07BE6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E4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E5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Ochrona danych osobowych i informacji niejawnych</w:t>
            </w:r>
          </w:p>
        </w:tc>
      </w:tr>
      <w:tr w:rsidR="00996F78" w14:paraId="55E07BE9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E7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E8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996F78" w14:paraId="55E07BEC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205F7A" w14:paraId="55E07BEA" w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996F78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205F7A" w14:paraId="55E07BEB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6F78" w14:paraId="55E07BEF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ED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242FAF" w14:paraId="55E07BEE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6F78" w14:paraId="55E07BF2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0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1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96F78" w14:paraId="55E07BF5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3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4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996F78" w14:paraId="55E07BF8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6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7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96F78" w14:paraId="55E07BFB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9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A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996F78" w14:paraId="55E07BFE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C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D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</w:t>
            </w:r>
            <w:r w:rsidR="00CD12A2"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</w:p>
        </w:tc>
      </w:tr>
      <w:tr w:rsidR="00996F78" w14:paraId="55E07C01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BFF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0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996F78" w14:paraId="55E07C04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2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3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96F78" w14:paraId="55E07C07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5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6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w:rsidR="00996F78" w14:paraId="55E07C0A" w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8" w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09" w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:rsidR="00996F78" w:rsidRDefault="00996F78" w14:paraId="55E07C0B" w14:textId="77777777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996F78" w:rsidRDefault="00996F78" w14:paraId="55E07C0C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996F78" w:rsidRDefault="00996F78" w14:paraId="55E07C0D" w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996F78" w:rsidRDefault="00996F78" w14:paraId="55E07C0E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046"/>
        <w:gridCol w:w="922"/>
        <w:gridCol w:w="799"/>
        <w:gridCol w:w="849"/>
        <w:gridCol w:w="811"/>
        <w:gridCol w:w="827"/>
        <w:gridCol w:w="779"/>
        <w:gridCol w:w="956"/>
        <w:gridCol w:w="1206"/>
        <w:gridCol w:w="1592"/>
      </w:tblGrid>
      <w:tr w:rsidR="00996F78" w14:paraId="55E07C1A" w14:textId="77777777"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0F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996F78" w:rsidRDefault="00996F78" w14:paraId="55E07C10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1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2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3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4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5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6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7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8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9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996F78" w14:paraId="55E07C25" w14:textId="77777777">
        <w:trPr>
          <w:trHeight w:val="453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1B" w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</w:t>
            </w:r>
            <w:r w:rsidR="00CD12A2"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C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D" w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E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1F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20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2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22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2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24" w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996F78" w:rsidRDefault="00996F78" w14:paraId="55E07C26" w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:rsidR="00996F78" w:rsidRDefault="00996F78" w14:paraId="55E07C27" w14:textId="77777777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:rsidR="00996F78" w:rsidRDefault="00996F78" w14:paraId="55E07C28" w14:textId="77777777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="00996F78" w:rsidRDefault="00996F78" w14:paraId="55E07C29" w14:textId="77777777">
      <w:pPr>
        <w:pStyle w:val="Punktygwne"/>
        <w:spacing w:before="0" w:after="0"/>
        <w:ind w:left="709"/>
      </w:pPr>
      <w:r>
        <w:rPr>
          <w:rFonts w:ascii="MS Gothic" w:hAnsi="MS Gothic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:rsidR="00996F78" w:rsidRDefault="00996F78" w14:paraId="55E07C2A" w14:textId="77777777">
      <w:pPr>
        <w:pStyle w:val="Punktygwne"/>
        <w:spacing w:before="0" w:after="0"/>
        <w:ind w:left="709"/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:rsidR="00996F78" w:rsidRDefault="00996F78" w14:paraId="55E07C2B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996F78" w:rsidRDefault="00996F78" w14:paraId="55E07C2C" w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996F78" w:rsidP="5C739008" w:rsidRDefault="00E80E93" w14:paraId="55E07C2D" w14:textId="5D5B29FB">
      <w:pPr>
        <w:snapToGrid w:val="0"/>
        <w:spacing w:after="0"/>
        <w:rPr>
          <w:rFonts w:ascii="Corbel" w:hAnsi="Corbel" w:cs="Corbel"/>
        </w:rPr>
      </w:pPr>
      <w:r w:rsidRPr="5C739008" w:rsidR="2856129A">
        <w:rPr>
          <w:rFonts w:ascii="Corbel" w:hAnsi="Corbel" w:cs="Corbel"/>
        </w:rPr>
        <w:t>Egzamin</w:t>
      </w:r>
      <w:r w:rsidRPr="5C739008" w:rsidR="009359EB">
        <w:rPr>
          <w:rFonts w:ascii="Corbel" w:hAnsi="Corbel" w:cs="Corbel"/>
        </w:rPr>
        <w:t>.</w:t>
      </w:r>
    </w:p>
    <w:p w:rsidR="00996F78" w:rsidRDefault="00996F78" w14:paraId="55E07C2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996F78" w:rsidRDefault="00996F78" w14:paraId="55E07C2F" w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996F78" w14:paraId="55E07C32" w14:textId="77777777">
        <w:tc>
          <w:tcPr>
            <w:tcW w:w="9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30" w14:textId="77777777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</w:t>
            </w:r>
            <w:r w:rsidR="007765D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odstawowa wiedza na temat systemu bezpieczeństwa państwa.</w:t>
            </w:r>
          </w:p>
          <w:p w:rsidR="00996F78" w:rsidRDefault="00996F78" w14:paraId="55E07C31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96F78" w:rsidRDefault="00996F78" w14:paraId="55E07C33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996F78" w:rsidRDefault="00996F78" w14:paraId="55E07C34" w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:rsidR="00996F78" w:rsidRDefault="00996F78" w14:paraId="55E07C35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996F78" w:rsidRDefault="00996F78" w14:paraId="55E07C36" w14:textId="77777777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:rsidR="00996F78" w:rsidRDefault="00996F78" w14:paraId="55E07C37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849"/>
        <w:gridCol w:w="8860"/>
      </w:tblGrid>
      <w:tr w:rsidR="00996F78" w14:paraId="55E07C3A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38" w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39" w14:textId="77777777">
            <w:pPr>
              <w:autoSpaceDE w:val="0"/>
              <w:snapToGrid w:val="0"/>
              <w:spacing w:before="40" w:after="40"/>
            </w:pPr>
            <w:r>
              <w:rPr>
                <w:rFonts w:ascii="Corbel" w:hAnsi="Corbel" w:eastAsia="Times New Roman" w:cs="Corbel"/>
                <w:color w:val="000000"/>
              </w:rPr>
              <w:t>Uzyskanie przez studenta wiedzy oraz umiejętności praktycznych na</w:t>
            </w:r>
            <w:r w:rsidR="009359EB">
              <w:rPr>
                <w:rFonts w:ascii="Corbel" w:hAnsi="Corbel" w:eastAsia="Times New Roman" w:cs="Corbel"/>
                <w:color w:val="000000"/>
              </w:rPr>
              <w:t xml:space="preserve"> temat ochrony danych osobowych.</w:t>
            </w:r>
          </w:p>
        </w:tc>
      </w:tr>
      <w:tr w:rsidR="00996F78" w14:paraId="55E07C3D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3B" w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3C" w14:textId="77777777">
            <w:pPr>
              <w:autoSpaceDE w:val="0"/>
              <w:snapToGrid w:val="0"/>
              <w:spacing w:before="40" w:after="40"/>
            </w:pPr>
            <w:r>
              <w:rPr>
                <w:rFonts w:ascii="Corbel" w:hAnsi="Corbel" w:eastAsia="Times New Roman" w:cs="Corbel"/>
                <w:color w:val="000000"/>
              </w:rPr>
              <w:t>Uzyskanie przez studenta wiedzy na temat podsta</w:t>
            </w:r>
            <w:r w:rsidR="009359EB">
              <w:rPr>
                <w:rFonts w:ascii="Corbel" w:hAnsi="Corbel" w:eastAsia="Times New Roman" w:cs="Corbel"/>
                <w:color w:val="000000"/>
              </w:rPr>
              <w:t>w ochrony informacji niejawnych.</w:t>
            </w:r>
          </w:p>
        </w:tc>
      </w:tr>
    </w:tbl>
    <w:p w:rsidR="00996F78" w:rsidRDefault="00996F78" w14:paraId="55E07C3E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:rsidR="00996F78" w:rsidRDefault="00996F78" w14:paraId="55E07C3F" w14:textId="77777777">
      <w:pPr>
        <w:spacing w:after="0" w:line="100" w:lineRule="atLeast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:rsidR="00996F78" w:rsidRDefault="00996F78" w14:paraId="55E07C40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095"/>
        <w:gridCol w:w="1916"/>
      </w:tblGrid>
      <w:tr w:rsidR="00996F78" w14:paraId="55E07C4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41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42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4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6F78" w14:paraId="55E07C4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45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55E07C46" w14:textId="77777777">
            <w:pPr>
              <w:spacing w:after="0"/>
            </w:pPr>
            <w:r>
              <w:rPr>
                <w:rFonts w:ascii="Corbel" w:hAnsi="Corbel" w:cs="Corbel"/>
              </w:rPr>
              <w:t>S</w:t>
            </w:r>
            <w:r w:rsidR="00996F78">
              <w:rPr>
                <w:rFonts w:ascii="Corbel" w:hAnsi="Corbel" w:cs="Corbel"/>
              </w:rPr>
              <w:t>tudent definiuje podstawowe pojęcia związane z bezpieczeństwem informacji.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55E07C47" w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K_W</w:t>
            </w:r>
            <w:r w:rsidR="00242FAF">
              <w:rPr>
                <w:rFonts w:ascii="Corbel" w:hAnsi="Corbel" w:cs="Corbel"/>
              </w:rPr>
              <w:t>0</w:t>
            </w:r>
            <w:r>
              <w:rPr>
                <w:rFonts w:ascii="Corbel" w:hAnsi="Corbel" w:cs="Corbel"/>
              </w:rPr>
              <w:t>7</w:t>
            </w:r>
          </w:p>
        </w:tc>
      </w:tr>
      <w:tr w:rsidR="00996F78" w14:paraId="55E07C4C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49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55E07C4A" w14:textId="77777777">
            <w:pPr>
              <w:spacing w:after="0"/>
            </w:pPr>
            <w:r>
              <w:rPr>
                <w:rFonts w:ascii="Corbel" w:hAnsi="Corbel" w:cs="Corbel"/>
              </w:rPr>
              <w:t>K</w:t>
            </w:r>
            <w:r w:rsidR="00996F78">
              <w:rPr>
                <w:rFonts w:ascii="Corbel" w:hAnsi="Corbel" w:cs="Corbel"/>
              </w:rPr>
              <w:t>lasyfikuje zakresy przedmiotowe i podmiotowe związane z ochroną danych osobowych i informacji niejawnych w UE i RP</w:t>
            </w:r>
            <w:r>
              <w:rPr>
                <w:rFonts w:ascii="Corbel" w:hAnsi="Corbel" w:cs="Corbel"/>
              </w:rPr>
              <w:t>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54EAA" w14:paraId="55E07C4B" w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K_W10</w:t>
            </w:r>
          </w:p>
        </w:tc>
      </w:tr>
      <w:tr w:rsidR="00996F78" w14:paraId="55E07C5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4D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55E07C4E" w14:textId="77777777">
            <w:pPr>
              <w:spacing w:after="0"/>
            </w:pPr>
            <w:r>
              <w:rPr>
                <w:rFonts w:ascii="Corbel" w:hAnsi="Corbel" w:cs="Corbel"/>
              </w:rPr>
              <w:t>O</w:t>
            </w:r>
            <w:r w:rsidR="00996F78">
              <w:rPr>
                <w:rFonts w:ascii="Corbel" w:hAnsi="Corbel" w:cs="Corbel"/>
              </w:rPr>
              <w:t>peruje podstawowymi zwrotami z zakresu informacji niejawnych i danych osobowych oraz projektuje w tym drugim za</w:t>
            </w:r>
            <w:r>
              <w:rPr>
                <w:rFonts w:ascii="Corbel" w:hAnsi="Corbel" w:cs="Corbel"/>
              </w:rPr>
              <w:t>kresie podstawowe formy ochrony.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55E07C4F" w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K_U12</w:t>
            </w:r>
          </w:p>
        </w:tc>
      </w:tr>
      <w:tr w:rsidR="00996F78" w14:paraId="55E07C54" w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3A33EF" w:rsidR="00996F78" w:rsidRDefault="00996F78" w14:paraId="55E07C51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A33EF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55E07C52" w14:textId="77777777">
            <w:pPr>
              <w:spacing w:after="0"/>
            </w:pPr>
            <w:r>
              <w:rPr>
                <w:rFonts w:ascii="Corbel" w:hAnsi="Corbel" w:cs="Corbel"/>
              </w:rPr>
              <w:t>A</w:t>
            </w:r>
            <w:r w:rsidR="00996F78">
              <w:rPr>
                <w:rFonts w:ascii="Corbel" w:hAnsi="Corbel" w:cs="Corbel"/>
              </w:rPr>
              <w:t>ktywnie uczestniczy w podmiotach publicznych i niepublicznych w ochronie danych oso</w:t>
            </w:r>
            <w:r>
              <w:rPr>
                <w:rFonts w:ascii="Corbel" w:hAnsi="Corbel" w:cs="Corbel"/>
              </w:rPr>
              <w:t>bowych i informacji niejawnych.</w:t>
            </w:r>
          </w:p>
        </w:tc>
        <w:tc>
          <w:tcPr>
            <w:tcW w:w="19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55E07C53" w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K_K01</w:t>
            </w:r>
          </w:p>
        </w:tc>
      </w:tr>
    </w:tbl>
    <w:p w:rsidR="00996F78" w:rsidRDefault="00996F78" w14:paraId="55E07C55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996F78" w:rsidRDefault="00996F78" w14:paraId="55E07C56" w14:textId="77777777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996F78" w:rsidRDefault="00996F78" w14:paraId="55E07C57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:rsidR="00996F78" w:rsidRDefault="00996F78" w14:paraId="55E07C58" w14:textId="77777777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996F78" w14:paraId="55E07C5A" w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59" w14:textId="77777777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:rsidR="00996F78" w:rsidRDefault="00996F78" w14:paraId="55E07C5B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9359EB" w:rsidR="00996F78" w:rsidRDefault="00996F78" w14:paraId="55E07C5C" w14:textId="77777777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996F78" w:rsidRDefault="00996F78" w14:paraId="55E07C5D" w14:textId="77777777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996F78" w14:paraId="55E07C5F" w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5E" w14:textId="77777777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96F78" w14:paraId="55E07C61" w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55E07C60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1. Zagrożenia dla bezpieczeństwa informacji.</w:t>
            </w:r>
          </w:p>
        </w:tc>
      </w:tr>
      <w:tr w:rsidR="00996F78" w14:paraId="55E07C63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55E07C62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/>
                <w:sz w:val="24"/>
                <w:szCs w:val="24"/>
              </w:rPr>
              <w:t>2. Informacje prawnie chronione.</w:t>
            </w:r>
          </w:p>
        </w:tc>
      </w:tr>
      <w:tr w:rsidR="00996F78" w14:paraId="55E07C65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55E07C64" w14:textId="77777777">
            <w:pPr>
              <w:pStyle w:val="NormalnyWeb"/>
              <w:rPr>
                <w:rFonts w:ascii="Corbel" w:hAnsi="Corbel"/>
              </w:rPr>
            </w:pPr>
            <w:r w:rsidRPr="00585199">
              <w:rPr>
                <w:rFonts w:ascii="Corbel" w:hAnsi="Corbel" w:cs="Corbel"/>
              </w:rPr>
              <w:t xml:space="preserve">3. </w:t>
            </w:r>
            <w:r w:rsidRPr="00585199">
              <w:rPr>
                <w:rFonts w:ascii="Corbel" w:hAnsi="Corbel"/>
                <w:color w:val="000000"/>
              </w:rPr>
              <w:t>Dane osobowe – pojęcie, szczególne przypadki, podmioty zobowiązane do ochrony, związki z bezpieczeństwem wewnętrznym państwa.</w:t>
            </w:r>
          </w:p>
        </w:tc>
      </w:tr>
      <w:tr w:rsidR="00996F78" w14:paraId="55E07C67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RDefault="009359EB" w14:paraId="55E07C66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Ogólne rozporządzenie o ochronie danych osobowych – RODO.</w:t>
            </w:r>
          </w:p>
        </w:tc>
      </w:tr>
      <w:tr w:rsidR="00996F78" w14:paraId="55E07C69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55E07C68" w14:textId="77777777">
            <w:pPr>
              <w:pStyle w:val="NormalnyWeb"/>
              <w:rPr>
                <w:rFonts w:ascii="Corbel" w:hAnsi="Corbel"/>
              </w:rPr>
            </w:pPr>
            <w:r w:rsidRPr="00585199">
              <w:rPr>
                <w:rFonts w:ascii="Corbel" w:hAnsi="Corbel" w:cs="Corbel"/>
              </w:rPr>
              <w:t xml:space="preserve">5. </w:t>
            </w:r>
            <w:r w:rsidRPr="00585199"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informacji.</w:t>
            </w:r>
            <w:r w:rsidRPr="00585199">
              <w:rPr>
                <w:rFonts w:ascii="Corbel" w:hAnsi="Corbel" w:cs="Corbel"/>
              </w:rPr>
              <w:t xml:space="preserve">         </w:t>
            </w:r>
          </w:p>
        </w:tc>
      </w:tr>
      <w:tr w:rsidR="00996F78" w14:paraId="55E07C6B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RDefault="009359EB" w14:paraId="55E07C6A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6. 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ich danych osobowych.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9359EB" w:rsidTr="002F7FAF" w14:paraId="55E07C6D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6C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7.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Urząd Ochrony Danych Osobowych – zadania i funkcjonowanie.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9359EB" w:rsidTr="002F7FAF" w14:paraId="55E07C6F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6E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Ochrona danych osobowych – wybrane przykłady.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9359EB" w:rsidTr="009359EB" w14:paraId="55E07C71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0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lastRenderedPageBreak/>
              <w:t>9.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9359EB" w:rsidTr="009359EB" w14:paraId="55E07C73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2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 i ich udostępnienie.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9359EB" w:rsidTr="009359EB" w14:paraId="55E07C75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4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11.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9359EB" w:rsidTr="009359EB" w14:paraId="55E07C77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6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12.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 oraz postępowania sprawdzające.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9359EB" w:rsidTr="009359EB" w14:paraId="55E07C79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8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13.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Kancelarie tajne, środki bezpieczeństwa fizycznego, podstawy szacowania ryzyka.</w:t>
            </w:r>
          </w:p>
        </w:tc>
      </w:tr>
      <w:tr w:rsidR="009359EB" w:rsidTr="009359EB" w14:paraId="55E07C7B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9359EB" w:rsidRDefault="009359EB" w14:paraId="55E07C7A" w14:textId="77777777">
            <w:pPr>
              <w:pStyle w:val="NormalnyWeb"/>
              <w:rPr>
                <w:rFonts w:ascii="Corbel" w:hAnsi="Corbel" w:cs="Corbel"/>
              </w:rPr>
            </w:pPr>
            <w:r w:rsidRPr="00585199">
              <w:rPr>
                <w:rFonts w:ascii="Corbel" w:hAnsi="Corbel" w:cs="Corbel"/>
              </w:rPr>
              <w:t xml:space="preserve">14. </w:t>
            </w:r>
            <w:r w:rsidRPr="00585199">
              <w:rPr>
                <w:rFonts w:ascii="Corbel" w:hAnsi="Corbel"/>
                <w:color w:val="000000"/>
              </w:rPr>
              <w:t>Podmioty państwowe w systemie ochrony informacji niejawnych. Bezpieczeństwo teleinformatyczne i bezpieczeństwo przemysłowe.</w:t>
            </w:r>
            <w:r w:rsidRPr="00585199">
              <w:rPr>
                <w:rFonts w:ascii="Corbel" w:hAnsi="Corbel" w:cs="Corbel"/>
              </w:rPr>
              <w:t xml:space="preserve">     </w:t>
            </w:r>
          </w:p>
        </w:tc>
      </w:tr>
      <w:tr w:rsidR="009359EB" w:rsidTr="009359EB" w14:paraId="55E07C7D" w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55E07C7C" w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15.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Problemy i wyzwania związane z ochroną informacji niejawnych.</w:t>
            </w:r>
          </w:p>
        </w:tc>
      </w:tr>
    </w:tbl>
    <w:p w:rsidR="009359EB" w:rsidP="009359EB" w:rsidRDefault="009359EB" w14:paraId="55E07C7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9359EB" w:rsidRDefault="009359EB" w14:paraId="55E07C7F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:rsidR="00996F78" w:rsidRDefault="00996F78" w14:paraId="55E07C80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585199" w:rsidRDefault="00585199" w14:paraId="55E07C81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:rsidR="00996F78" w:rsidRDefault="00996F78" w14:paraId="55E07C82" w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:rsidR="00996F78" w:rsidRDefault="00996F78" w14:paraId="55E07C83" w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996F78" w:rsidRDefault="00996F78" w14:paraId="55E07C84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996F78" w:rsidRDefault="00996F78" w14:paraId="55E07C85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996F78" w:rsidRDefault="00996F78" w14:paraId="55E07C86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7"/>
        <w:gridCol w:w="2169"/>
      </w:tblGrid>
      <w:tr w:rsidR="00996F78" w14:paraId="55E07C8C" w14:textId="77777777"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87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88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96F78" w:rsidRDefault="00996F78" w14:paraId="55E07C89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8A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96F78" w:rsidRDefault="00996F78" w14:paraId="55E07C8B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996F78" w14:paraId="55E07C90" w14:textId="77777777"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996F78" w:rsidRDefault="00996F78" w14:paraId="55E07C8D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996F78" w:rsidRDefault="00996F78" w14:paraId="55E07C8E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996F78" w:rsidRDefault="00996F78" w14:paraId="55E07C8F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C577B4" w14:paraId="55E07C94" w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RDefault="00C577B4" w14:paraId="55E07C9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RDefault="00585199" w14:paraId="55E07C92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RDefault="00C577B4" w14:paraId="55E07C9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C577B4" w14:paraId="55E07C98" w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5E07C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585199" w:rsidR="00C577B4" w:rsidP="00C577B4" w:rsidRDefault="00585199" w14:paraId="55E07C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85199"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5E07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C577B4" w14:paraId="55E07C9C" w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5E07C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585199" w:rsidR="00C577B4" w:rsidP="00C577B4" w:rsidRDefault="00585199" w14:paraId="55E07C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85199">
              <w:rPr>
                <w:rFonts w:ascii="Corbel" w:hAnsi="Corbel"/>
                <w:b w:val="0"/>
                <w:color w:val="000000"/>
                <w:szCs w:val="24"/>
              </w:rPr>
              <w:t>test zalicze</w:t>
            </w:r>
            <w:bookmarkStart w:name="_GoBack" w:id="0"/>
            <w:bookmarkEnd w:id="0"/>
            <w:r w:rsidRPr="00585199">
              <w:rPr>
                <w:rFonts w:ascii="Corbel" w:hAnsi="Corbel"/>
                <w:b w:val="0"/>
                <w:color w:val="000000"/>
                <w:szCs w:val="24"/>
              </w:rPr>
              <w:t>niowy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5E07C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:rsidR="00996F78" w:rsidRDefault="00996F78" w14:paraId="55E07C9D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9E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996F78" w:rsidRDefault="00996F78" w14:paraId="55E07C9F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996F78" w14:paraId="55E07CA2" w14:textId="77777777">
        <w:tc>
          <w:tcPr>
            <w:tcW w:w="9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P="00585199" w:rsidRDefault="00585199" w14:paraId="55E07CA0" w14:textId="77777777">
            <w:pPr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warunkiem zdobycia ponad 50% punktów.</w:t>
            </w:r>
          </w:p>
          <w:p w:rsidR="00996F78" w:rsidRDefault="00996F78" w14:paraId="55E07CA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996F78" w:rsidRDefault="00996F78" w14:paraId="55E07CA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A4" w14:textId="77777777">
      <w:pPr>
        <w:pStyle w:val="Bezodstpw1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96F78" w:rsidRDefault="00996F78" w14:paraId="55E07CA5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w:rsidR="00996F78" w14:paraId="55E07CA8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A6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E07CA7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96F78" w14:paraId="55E07CAB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A9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AA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996F78" w14:paraId="55E07CAF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AC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996F78" w:rsidRDefault="00996F78" w14:paraId="55E07CAD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585199" w14:paraId="55E07CAE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996F78" w14:paraId="55E07CB2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P="00585199" w:rsidRDefault="00996F78" w14:paraId="55E07CB0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 w:rsidR="00585199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585199" w14:paraId="55E07CB1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45</w:t>
            </w:r>
          </w:p>
        </w:tc>
      </w:tr>
      <w:tr w:rsidR="00996F78" w14:paraId="55E07CB5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B3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B4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90</w:t>
            </w:r>
          </w:p>
        </w:tc>
      </w:tr>
      <w:tr w:rsidR="00996F78" w14:paraId="55E07CB8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B6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B7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996F78" w:rsidRDefault="00996F78" w14:paraId="55E07CB9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96F78" w:rsidRDefault="00996F78" w14:paraId="55E07CB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BB" w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:rsidR="00996F78" w:rsidRDefault="00996F78" w14:paraId="55E07CB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5" w:type="dxa"/>
        <w:tblLayout w:type="fixed"/>
        <w:tblLook w:val="0000" w:firstRow="0" w:lastRow="0" w:firstColumn="0" w:lastColumn="0" w:noHBand="0" w:noVBand="0"/>
      </w:tblPr>
      <w:tblGrid>
        <w:gridCol w:w="3543"/>
        <w:gridCol w:w="4009"/>
      </w:tblGrid>
      <w:tr w:rsidR="00996F78" w14:paraId="55E07CBF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BD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BE" w14:textId="7777777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96F78" w14:paraId="55E07CC2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07CC0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5E07CC1" w14:textId="7777777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996F78" w:rsidRDefault="00996F78" w14:paraId="55E07CC3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C4" w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996F78" w:rsidRDefault="00996F78" w14:paraId="55E07CC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w:rsidR="00996F78" w14:paraId="55E07CCB" w14:textId="77777777">
        <w:trPr>
          <w:trHeight w:val="397"/>
        </w:trPr>
        <w:tc>
          <w:tcPr>
            <w:tcW w:w="7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585199" w:rsidRDefault="00996F78" w14:paraId="55E07CC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A33EF"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:</w:t>
            </w:r>
            <w:r w:rsidR="003A33EF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:rsidR="00585199" w:rsidP="003545CC" w:rsidRDefault="003545CC" w14:paraId="55E07CC7" w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</w:t>
            </w:r>
            <w:r w:rsidR="00E80E93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585199" w:rsidR="00996F78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Ochrona danych osobowych i informacji niejawnych z uwzględnieniem ogólnego rozporzą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dzenia unijnego, 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:rsidR="003545CC" w:rsidP="003545CC" w:rsidRDefault="003545CC" w14:paraId="55E07CC8" w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Zalewski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S.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3545CC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:rsidRPr="003545CC" w:rsidR="003545CC" w:rsidP="003545CC" w:rsidRDefault="003545CC" w14:paraId="55E07CC9" w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 w:rsidRPr="003545CC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:rsidR="00996F78" w:rsidRDefault="00996F78" w14:paraId="55E07CCA" w14:textId="77777777">
            <w:pPr>
              <w:pStyle w:val="Punktygwne"/>
              <w:spacing w:before="0" w:after="0"/>
            </w:pPr>
          </w:p>
        </w:tc>
      </w:tr>
      <w:tr w:rsidR="00996F78" w14:paraId="55E07CD6" w14:textId="77777777">
        <w:trPr>
          <w:trHeight w:val="397"/>
        </w:trPr>
        <w:tc>
          <w:tcPr>
            <w:tcW w:w="7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3545CC" w:rsidRDefault="00996F78" w14:paraId="55E07CC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A33EF"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:rsidRPr="003545CC" w:rsidR="003545CC" w:rsidP="003545CC" w:rsidRDefault="003545CC" w14:paraId="55E07CCD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 xml:space="preserve">Hoc S., Szewc T., </w:t>
            </w:r>
            <w:r w:rsidRPr="008D45E4"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 w:rsidRPr="003545CC">
              <w:rPr>
                <w:rFonts w:ascii="Corbel" w:hAnsi="Corbel"/>
                <w:color w:val="000000"/>
              </w:rPr>
              <w:t xml:space="preserve">, Warszawa </w:t>
            </w:r>
            <w:r w:rsidR="008D45E4">
              <w:rPr>
                <w:rFonts w:ascii="Corbel" w:hAnsi="Corbel"/>
                <w:color w:val="000000"/>
              </w:rPr>
              <w:t>2014.</w:t>
            </w:r>
          </w:p>
          <w:p w:rsidRPr="003545CC" w:rsidR="003545CC" w:rsidP="003545CC" w:rsidRDefault="008D45E4" w14:paraId="55E07CCE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Gałach</w:t>
            </w:r>
            <w:r>
              <w:rPr>
                <w:rFonts w:ascii="Corbel" w:hAnsi="Corbel"/>
                <w:color w:val="000000"/>
              </w:rPr>
              <w:t xml:space="preserve"> A., </w:t>
            </w:r>
            <w:r w:rsidRPr="003545CC">
              <w:rPr>
                <w:rFonts w:ascii="Corbel" w:hAnsi="Corbel"/>
                <w:color w:val="000000"/>
              </w:rPr>
              <w:t>Hoc</w:t>
            </w:r>
            <w:r>
              <w:rPr>
                <w:rFonts w:ascii="Corbel" w:hAnsi="Corbel"/>
                <w:color w:val="000000"/>
              </w:rPr>
              <w:t xml:space="preserve"> S., </w:t>
            </w:r>
            <w:r w:rsidRPr="003545CC">
              <w:rPr>
                <w:rFonts w:ascii="Corbel" w:hAnsi="Corbel"/>
                <w:color w:val="000000"/>
              </w:rPr>
              <w:t>Jędruszczak</w:t>
            </w:r>
            <w:r>
              <w:rPr>
                <w:rFonts w:ascii="Corbel" w:hAnsi="Corbel"/>
                <w:color w:val="000000"/>
              </w:rPr>
              <w:t xml:space="preserve"> A., </w:t>
            </w:r>
            <w:r w:rsidRPr="003545CC">
              <w:rPr>
                <w:rFonts w:ascii="Corbel" w:hAnsi="Corbel"/>
                <w:color w:val="000000"/>
              </w:rPr>
              <w:t>Kędzierska</w:t>
            </w:r>
            <w:r>
              <w:rPr>
                <w:rFonts w:ascii="Corbel" w:hAnsi="Corbel"/>
                <w:color w:val="000000"/>
              </w:rPr>
              <w:t xml:space="preserve"> K., </w:t>
            </w:r>
            <w:r w:rsidRPr="003545CC">
              <w:rPr>
                <w:rFonts w:ascii="Corbel" w:hAnsi="Corbel"/>
                <w:color w:val="000000"/>
              </w:rPr>
              <w:t>Kowalik</w:t>
            </w:r>
            <w:r>
              <w:rPr>
                <w:rFonts w:ascii="Corbel" w:hAnsi="Corbel"/>
                <w:color w:val="000000"/>
              </w:rPr>
              <w:t xml:space="preserve"> P., </w:t>
            </w:r>
            <w:r w:rsidRPr="003545CC">
              <w:rPr>
                <w:rFonts w:ascii="Corbel" w:hAnsi="Corbel"/>
                <w:color w:val="000000"/>
              </w:rPr>
              <w:t>Kuszel</w:t>
            </w:r>
            <w:r>
              <w:rPr>
                <w:rFonts w:ascii="Corbel" w:hAnsi="Corbel"/>
                <w:color w:val="000000"/>
              </w:rPr>
              <w:t xml:space="preserve"> A.,</w:t>
            </w:r>
            <w:r w:rsidRPr="003545CC">
              <w:rPr>
                <w:rFonts w:ascii="Corbel" w:hAnsi="Corbel"/>
                <w:color w:val="000000"/>
              </w:rPr>
              <w:t xml:space="preserve"> Kuźma</w:t>
            </w:r>
            <w:r>
              <w:rPr>
                <w:rFonts w:ascii="Corbel" w:hAnsi="Corbel"/>
                <w:color w:val="000000"/>
              </w:rPr>
              <w:t xml:space="preserve"> M., </w:t>
            </w:r>
            <w:r w:rsidRPr="003545CC">
              <w:rPr>
                <w:rFonts w:ascii="Corbel" w:hAnsi="Corbel"/>
                <w:color w:val="000000"/>
              </w:rPr>
              <w:t>Marek</w:t>
            </w:r>
            <w:r>
              <w:rPr>
                <w:rFonts w:ascii="Corbel" w:hAnsi="Corbel"/>
                <w:color w:val="000000"/>
              </w:rPr>
              <w:t xml:space="preserve"> R., </w:t>
            </w:r>
            <w:r w:rsidRPr="003545CC">
              <w:rPr>
                <w:rFonts w:ascii="Corbel" w:hAnsi="Corbel"/>
                <w:color w:val="000000"/>
              </w:rPr>
              <w:t>Nowakowski</w:t>
            </w:r>
            <w:r>
              <w:rPr>
                <w:rFonts w:ascii="Corbel" w:hAnsi="Corbel"/>
                <w:color w:val="000000"/>
              </w:rPr>
              <w:t xml:space="preserve"> B. (red.),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 w:rsidRPr="00E80E93" w:rsidR="003545CC">
              <w:rPr>
                <w:rFonts w:ascii="Corbel" w:hAnsi="Corbel"/>
                <w:i/>
                <w:color w:val="000000"/>
              </w:rPr>
              <w:t>Ochrona danych osobowych i informacji n</w:t>
            </w:r>
            <w:r w:rsidRPr="00E80E93">
              <w:rPr>
                <w:rFonts w:ascii="Corbel" w:hAnsi="Corbel"/>
                <w:i/>
                <w:color w:val="000000"/>
              </w:rPr>
              <w:t>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:rsidRPr="003545CC" w:rsidR="003545CC" w:rsidP="003545CC" w:rsidRDefault="00E80E93" w14:paraId="55E07CCF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Litwiński</w:t>
            </w:r>
            <w:r>
              <w:rPr>
                <w:rFonts w:ascii="Corbel" w:hAnsi="Corbel"/>
                <w:color w:val="000000"/>
              </w:rPr>
              <w:t xml:space="preserve"> P. (red.),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 w:rsidRPr="00E80E93" w:rsidR="003545CC"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 w:rsidRPr="003545CC" w:rsidR="003545CC">
              <w:rPr>
                <w:rFonts w:ascii="Corbel" w:hAnsi="Corbel"/>
                <w:color w:val="000000"/>
              </w:rPr>
              <w:t xml:space="preserve">, Warszawa 2017. </w:t>
            </w:r>
          </w:p>
          <w:p w:rsidRPr="003545CC" w:rsidR="003545CC" w:rsidP="003545CC" w:rsidRDefault="00E80E93" w14:paraId="55E07CD0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Sagan–</w:t>
            </w:r>
            <w:r w:rsidRPr="003545CC" w:rsidR="003545CC">
              <w:rPr>
                <w:rFonts w:ascii="Corbel" w:hAnsi="Corbel"/>
                <w:color w:val="000000"/>
              </w:rPr>
              <w:t>Jeżowska</w:t>
            </w:r>
            <w:r>
              <w:rPr>
                <w:rFonts w:ascii="Corbel" w:hAnsi="Corbel"/>
                <w:color w:val="000000"/>
              </w:rPr>
              <w:t xml:space="preserve"> A.</w:t>
            </w:r>
            <w:r w:rsidRPr="003545CC" w:rsidR="003545CC">
              <w:rPr>
                <w:rFonts w:ascii="Corbel" w:hAnsi="Corbel"/>
                <w:color w:val="000000"/>
              </w:rPr>
              <w:t xml:space="preserve">, </w:t>
            </w:r>
            <w:r w:rsidRPr="00E80E93" w:rsidR="003545CC">
              <w:rPr>
                <w:rFonts w:ascii="Corbel" w:hAnsi="Corbel"/>
                <w:i/>
                <w:color w:val="000000"/>
              </w:rPr>
              <w:t xml:space="preserve">Klauzule RODO – wzory klauzul z praktycznym </w:t>
            </w:r>
            <w:r w:rsidRPr="00E80E93">
              <w:rPr>
                <w:rFonts w:ascii="Corbel" w:hAnsi="Corbel"/>
                <w:i/>
                <w:color w:val="000000"/>
              </w:rPr>
              <w:t xml:space="preserve">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:rsidRPr="003545CC" w:rsidR="003545CC" w:rsidP="003545CC" w:rsidRDefault="00E80E93" w14:paraId="55E07CD1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Kubiak</w:t>
            </w:r>
            <w:r>
              <w:rPr>
                <w:rFonts w:ascii="Corbel" w:hAnsi="Corbel"/>
                <w:color w:val="000000"/>
              </w:rPr>
              <w:t xml:space="preserve"> M., </w:t>
            </w:r>
            <w:r w:rsidRPr="003545CC">
              <w:rPr>
                <w:rFonts w:ascii="Corbel" w:hAnsi="Corbel"/>
                <w:color w:val="000000"/>
              </w:rPr>
              <w:t>Topolewski</w:t>
            </w:r>
            <w:r>
              <w:rPr>
                <w:rFonts w:ascii="Corbel" w:hAnsi="Corbel"/>
                <w:color w:val="000000"/>
              </w:rPr>
              <w:t xml:space="preserve"> S.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 xml:space="preserve">(red.), </w:t>
            </w:r>
            <w:r w:rsidRPr="00E80E93" w:rsidR="003545CC">
              <w:rPr>
                <w:rFonts w:ascii="Corbel" w:hAnsi="Corbel"/>
                <w:i/>
                <w:color w:val="000000"/>
              </w:rPr>
              <w:t>Współczesne wyzwania i zagrożenia wobec ochrony informacji</w:t>
            </w:r>
            <w:r w:rsidRPr="00E80E93">
              <w:rPr>
                <w:rFonts w:ascii="Corbel" w:hAnsi="Corbel"/>
                <w:i/>
                <w:color w:val="000000"/>
              </w:rPr>
              <w:t xml:space="preserve"> niejawnych i danych osobowych</w:t>
            </w:r>
            <w:r w:rsidRPr="003545CC" w:rsidR="003545CC">
              <w:rPr>
                <w:rFonts w:ascii="Corbel" w:hAnsi="Corbel"/>
                <w:color w:val="000000"/>
              </w:rPr>
              <w:t xml:space="preserve">, </w:t>
            </w:r>
            <w:r>
              <w:rPr>
                <w:rFonts w:ascii="Corbel" w:hAnsi="Corbel"/>
                <w:color w:val="000000"/>
              </w:rPr>
              <w:t>Siedlce 2018.</w:t>
            </w:r>
            <w:r w:rsidRPr="003545CC" w:rsidR="003545CC">
              <w:rPr>
                <w:rFonts w:ascii="Corbel" w:hAnsi="Corbel"/>
                <w:color w:val="000000"/>
              </w:rPr>
              <w:t xml:space="preserve"> </w:t>
            </w:r>
          </w:p>
          <w:p w:rsidRPr="003545CC" w:rsidR="003545CC" w:rsidP="003545CC" w:rsidRDefault="003545CC" w14:paraId="55E07CD2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Zapart</w:t>
            </w:r>
            <w:r w:rsidR="00E80E93">
              <w:rPr>
                <w:rFonts w:ascii="Corbel" w:hAnsi="Corbel"/>
                <w:color w:val="000000"/>
              </w:rPr>
              <w:t xml:space="preserve"> R.</w:t>
            </w:r>
            <w:r w:rsidRPr="003545CC">
              <w:rPr>
                <w:rFonts w:ascii="Corbel" w:hAnsi="Corbel"/>
                <w:color w:val="000000"/>
              </w:rPr>
              <w:t xml:space="preserve">, </w:t>
            </w:r>
            <w:r w:rsidRPr="00E80E93"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 w:rsidRPr="003545CC">
              <w:rPr>
                <w:rFonts w:ascii="Corbel" w:hAnsi="Corbel"/>
                <w:color w:val="000000"/>
              </w:rPr>
              <w:t xml:space="preserve"> [w:] </w:t>
            </w:r>
            <w:r w:rsidRPr="00E80E93"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 w:rsidRPr="003545CC">
              <w:rPr>
                <w:rFonts w:ascii="Corbel" w:hAnsi="Corbel"/>
                <w:color w:val="000000"/>
              </w:rPr>
              <w:t xml:space="preserve">, red. S. Topolewski, Siedlce </w:t>
            </w:r>
            <w:r w:rsidR="00E80E93">
              <w:rPr>
                <w:rFonts w:ascii="Corbel" w:hAnsi="Corbel"/>
                <w:color w:val="000000"/>
              </w:rPr>
              <w:t>2019.</w:t>
            </w:r>
          </w:p>
          <w:p w:rsidRPr="003545CC" w:rsidR="003545CC" w:rsidP="003545CC" w:rsidRDefault="003545CC" w14:paraId="55E07CD3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Zapart</w:t>
            </w:r>
            <w:r w:rsidR="00E80E93">
              <w:rPr>
                <w:rFonts w:ascii="Corbel" w:hAnsi="Corbel"/>
                <w:color w:val="000000"/>
              </w:rPr>
              <w:t xml:space="preserve"> R.</w:t>
            </w:r>
            <w:r w:rsidRPr="003545CC">
              <w:rPr>
                <w:rFonts w:ascii="Corbel" w:hAnsi="Corbel"/>
                <w:color w:val="000000"/>
              </w:rPr>
              <w:t xml:space="preserve">, </w:t>
            </w:r>
            <w:r w:rsidRPr="00E80E93">
              <w:rPr>
                <w:rFonts w:ascii="Corbel" w:hAnsi="Corbel"/>
                <w:i/>
                <w:color w:val="000000"/>
              </w:rPr>
              <w:t>Polityka bezpieczeństwa państwa a podmiotowość jednostek. Postępowania sprawdzające jako przedmiot potencjalnego zainteresowania Rzecznika Praw Obywatelskich</w:t>
            </w:r>
            <w:r w:rsidRPr="003545CC">
              <w:rPr>
                <w:rFonts w:ascii="Corbel" w:hAnsi="Corbel"/>
                <w:color w:val="000000"/>
              </w:rPr>
              <w:t xml:space="preserve">, „Annales Universitatis Paedagogicae Cracoviensis. </w:t>
            </w:r>
            <w:r w:rsidR="00E80E93">
              <w:rPr>
                <w:rFonts w:ascii="Corbel" w:hAnsi="Corbel"/>
                <w:color w:val="000000"/>
              </w:rPr>
              <w:t>Studia Politologica”, 23/2019.</w:t>
            </w:r>
          </w:p>
          <w:p w:rsidRPr="003545CC" w:rsidR="003545CC" w:rsidP="003545CC" w:rsidRDefault="003545CC" w14:paraId="55E07CD4" w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Strony internetowe UODO, ABW oraz portali specjalistycznych.</w:t>
            </w:r>
          </w:p>
          <w:p w:rsidR="00996F78" w:rsidP="003545CC" w:rsidRDefault="00996F78" w14:paraId="55E07CD5" w14:textId="77777777">
            <w:pPr>
              <w:pStyle w:val="Punktygwne"/>
              <w:spacing w:before="0" w:after="0"/>
            </w:pPr>
          </w:p>
        </w:tc>
      </w:tr>
    </w:tbl>
    <w:p w:rsidR="00996F78" w:rsidRDefault="00996F78" w14:paraId="55E07CD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D8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996F78" w:rsidRDefault="00996F78" w14:paraId="55E07CD9" w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:rsidR="00996F78" w:rsidRDefault="00996F78" w14:paraId="55E07CDA" w14:textId="77777777"/>
    <w:sectPr w:rsidR="00996F78">
      <w:pgSz w:w="11906" w:h="16838" w:orient="portrait"/>
      <w:pgMar w:top="1134" w:right="1134" w:bottom="1134" w:left="1134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AF" w:rsidRDefault="002F7FAF" w14:paraId="55E07CDD" w14:textId="77777777">
      <w:pPr>
        <w:spacing w:after="0" w:line="240" w:lineRule="auto"/>
      </w:pPr>
      <w:r>
        <w:separator/>
      </w:r>
    </w:p>
  </w:endnote>
  <w:endnote w:type="continuationSeparator" w:id="0">
    <w:p w:rsidR="002F7FAF" w:rsidRDefault="002F7FAF" w14:paraId="55E07C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AF" w:rsidRDefault="002F7FAF" w14:paraId="55E07CDB" w14:textId="77777777">
      <w:pPr>
        <w:spacing w:after="0" w:line="240" w:lineRule="auto"/>
      </w:pPr>
      <w:r>
        <w:separator/>
      </w:r>
    </w:p>
  </w:footnote>
  <w:footnote w:type="continuationSeparator" w:id="0">
    <w:p w:rsidR="002F7FAF" w:rsidRDefault="002F7FAF" w14:paraId="55E07CDC" w14:textId="77777777">
      <w:pPr>
        <w:spacing w:after="0" w:line="240" w:lineRule="auto"/>
      </w:pPr>
      <w:r>
        <w:continuationSeparator/>
      </w:r>
    </w:p>
  </w:footnote>
  <w:footnote w:id="1">
    <w:p w:rsidR="00996F78" w:rsidP="009359EB" w:rsidRDefault="00996F78" w14:paraId="55E07CDF" w14:textId="77777777">
      <w:r>
        <w:rPr>
          <w:rStyle w:val="Znakiprzypiswdolnych"/>
          <w:rFonts w:ascii="Corbel" w:hAnsi="Corbel"/>
        </w:rPr>
        <w:footnoteRef/>
      </w:r>
      <w:r w:rsidR="009359EB"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:rsidR="00996F78" w:rsidRDefault="00996F78" w14:paraId="55E07CE0" w14:textId="77777777">
      <w:pPr>
        <w:pStyle w:val="Tekstprzypisudolnego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7A"/>
    <w:rsid w:val="00036937"/>
    <w:rsid w:val="0010613D"/>
    <w:rsid w:val="00137590"/>
    <w:rsid w:val="00205F7A"/>
    <w:rsid w:val="00242FAF"/>
    <w:rsid w:val="002F7FAF"/>
    <w:rsid w:val="003545CC"/>
    <w:rsid w:val="00380365"/>
    <w:rsid w:val="003A33EF"/>
    <w:rsid w:val="00585199"/>
    <w:rsid w:val="005C6BDD"/>
    <w:rsid w:val="007765D6"/>
    <w:rsid w:val="007C537A"/>
    <w:rsid w:val="008B7305"/>
    <w:rsid w:val="008D45E4"/>
    <w:rsid w:val="009359EB"/>
    <w:rsid w:val="00996F78"/>
    <w:rsid w:val="009F723A"/>
    <w:rsid w:val="00A268D7"/>
    <w:rsid w:val="00A54EAA"/>
    <w:rsid w:val="00AC487B"/>
    <w:rsid w:val="00AD29E2"/>
    <w:rsid w:val="00BC1002"/>
    <w:rsid w:val="00C577B4"/>
    <w:rsid w:val="00CD12A2"/>
    <w:rsid w:val="00D762EF"/>
    <w:rsid w:val="00DC038A"/>
    <w:rsid w:val="00E34CA5"/>
    <w:rsid w:val="00E80E93"/>
    <w:rsid w:val="00F860F4"/>
    <w:rsid w:val="2856129A"/>
    <w:rsid w:val="5C739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E07BDD"/>
  <w15:chartTrackingRefBased/>
  <w15:docId w15:val="{22FA3601-1867-4A32-8EC1-A93DCD76DD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color w:val="00000A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ascii="Corbel" w:hAnsi="Corbel" w:cs="Corbel"/>
      <w:sz w:val="24"/>
      <w:szCs w:val="24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dolnych" w:customStyle="1">
    <w:name w:val="WW-Znaki przypisów dolnych"/>
  </w:style>
  <w:style w:type="character" w:styleId="WW-Znakiprzypiswkocowych" w:customStyle="1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Tytu">
    <w:name w:val="Title"/>
    <w:basedOn w:val="Normalny"/>
    <w:next w:val="Tekstpodstawowy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color w:val="00000A"/>
      <w:sz w:val="22"/>
      <w:szCs w:val="22"/>
      <w:lang w:eastAsia="en-US"/>
    </w:rPr>
  </w:style>
  <w:style w:type="paragraph" w:styleId="Zawartotabeli" w:customStyle="1">
    <w:name w:val="Zawartość tabeli"/>
    <w:basedOn w:val="Normalny"/>
  </w:style>
  <w:style w:type="paragraph" w:styleId="Nagwektabeli" w:customStyle="1">
    <w:name w:val="Nagłówek tabeli"/>
    <w:basedOn w:val="Zawartotabeli"/>
  </w:style>
  <w:style w:type="character" w:styleId="Odwoaniedokomentarza">
    <w:name w:val="annotation reference"/>
    <w:uiPriority w:val="99"/>
    <w:semiHidden/>
    <w:unhideWhenUsed/>
    <w:rsid w:val="003A33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3E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A33EF"/>
    <w:rPr>
      <w:rFonts w:ascii="Calibri" w:hAnsi="Calibri" w:eastAsia="Calibri"/>
      <w:color w:val="00000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3E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A33EF"/>
    <w:rPr>
      <w:rFonts w:ascii="Calibri" w:hAnsi="Calibri" w:eastAsia="Calibri"/>
      <w:b/>
      <w:bCs/>
      <w:color w:val="00000A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A3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1" w:customStyle="1">
    <w:name w:val="Tekst dymka Znak1"/>
    <w:link w:val="Tekstdymka"/>
    <w:uiPriority w:val="99"/>
    <w:semiHidden/>
    <w:rsid w:val="003A33EF"/>
    <w:rPr>
      <w:rFonts w:ascii="Segoe UI" w:hAnsi="Segoe UI" w:eastAsia="Calibri" w:cs="Segoe UI"/>
      <w:color w:val="00000A"/>
      <w:sz w:val="18"/>
      <w:szCs w:val="18"/>
      <w:lang w:eastAsia="en-US"/>
    </w:rPr>
  </w:style>
  <w:style w:type="paragraph" w:styleId="NormalnyWeb">
    <w:name w:val="Normal (Web)"/>
    <w:basedOn w:val="Normalny"/>
    <w:uiPriority w:val="99"/>
    <w:unhideWhenUsed/>
    <w:rsid w:val="009359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29DF00-B22A-4C85-9AB9-5D001B131C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6647D-E9A1-4305-991F-3B882256D74E}"/>
</file>

<file path=customXml/itemProps3.xml><?xml version="1.0" encoding="utf-8"?>
<ds:datastoreItem xmlns:ds="http://schemas.openxmlformats.org/officeDocument/2006/customXml" ds:itemID="{BB88F299-E29F-4594-8882-048C939525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16</cp:revision>
  <cp:lastPrinted>1995-11-22T01:41:00Z</cp:lastPrinted>
  <dcterms:created xsi:type="dcterms:W3CDTF">2021-11-14T08:07:00Z</dcterms:created>
  <dcterms:modified xsi:type="dcterms:W3CDTF">2021-11-14T08:31:51Z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